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114</w:t>
      </w:r>
    </w:p>
    <w:p>
      <w:r>
        <w:t>Bundesgericht (BGE), 1980-06-19, IT</w:t>
      </w:r>
    </w:p>
    <w:p>
      <w:r>
        <w:rPr>
          <w:b/>
        </w:rPr>
        <w:t xml:space="preserve">Quelle: </w:t>
      </w:r>
      <w:r>
        <w:t>https://mcp.opencaselaw.ch/entscheid/bge_106 II 114</w:t>
      </w:r>
    </w:p>
    <w:p>
      <w:r>
        <w:t>FR: ATF 106 II 114</w:t>
      </w:r>
    </w:p>
    <w:p>
      <w:r>
        <w:t>IT: DTF 106 II 114</w:t>
      </w:r>
    </w:p>
    <w:p>
      <w:pPr>
        <w:pStyle w:val="Heading2"/>
      </w:pPr>
      <w:r>
        <w:t>Regeste</w:t>
      </w:r>
    </w:p>
    <w:p>
      <w:r>
        <w:t>Regeste Stiftungen. Teilweise kirchlicher Zweck einer Stiftung; im vorliegenden Fall Vorherrschen des sozialen Zweckes und deshalb vollständige Unterstellung der Stiftung unter die Aufsicht der zivilen Behörden.</w:t>
      </w:r>
    </w:p>
    <w:p>
      <w:pPr>
        <w:pStyle w:val="Heading2"/>
      </w:pPr>
      <w:r>
        <w:t>Erwägungen</w:t>
      </w:r>
    </w:p>
    <w:p>
      <w:r>
        <w:rPr>
          <w:b/>
        </w:rPr>
        <w:t>E. 2</w:t>
      </w:r>
    </w:p>
    <w:p>
      <w:r>
        <w:t>L'autorità cantonale ammette che lo scopo perseguito dalla ricorrente è parzialmente ecclesiastico e che inoltre essa presenta un legame organico con le autorità ecclesiastiche. E, difatti, la fondazione venne costituita per adempiere uno scopo di assistenza spirituale (conferenze, corsi di istruzione, manifestazioni religiose, trattenimenti destinati ai parrocchiani di Mezzovico-Vira). D'altra parte, i fondatori la sottoposero alla sorveglianza dell'Ordinario diocesano e stabilirono che il regolamento dovesse essere approvato dall'autorità ecclesiastica. Ma a ragione l'autorità cantonale richiama anche l'altro scopo della fondazione, che è quello di affidare (durante una parte della giornata) a persone competenti i bambini i cui genitori sono occupati nei lavori agricoli e, quindi, di portare aiuto e sollievo alle famiglie. Trattasi di uno scopo tipicamente sociale, suggerito, come si legge nell'introduzione all'atto pubblico di costituzione della fondazione, dal fatto che nel territorio delle parrocchie di Mezzovico-Vira non esisteva "alcun asilo d'infanzia, né comunale, né privato", e non concepito come un mezzo per adempiere un compito di assistenza spirituale religiosa o di attività pastorale. È inesatto affermare, come fa la ricorrente, che il fine di riunire i bambini fosse quello di favorirne l'educazione e la manifestazione religiosa o di istruirli ai sacri sacramenti. Una siffatta interpretazione non trova appoggio nello scopo della fondazione definito nell'atto di costituzione. Del resto, non risulta neppure che dei bambini dovesse necessariamente occuparsi il parroco od altra persona BGE 106 II 114 S. 116 ecclesiastica, l'atto di fondazione parlando unicamente di persone "competenti e giudiziose". Da questo profilo, e pur ammettendo che le due fattispecie non siano identiche, vi è da chiedersi se la sentenza pubblicata in DTF 81 II 577 abbia operato le necessarie distinzioni. Comunque, contrariamente a quel giudizio, non si può ritenere che il fatto di mettere a disposizione di bambini di genitori occupati altrove un locale e personale qualificato, rappresenti un'attività specifica dell'azione cattolica, quando nulla permette di sostenere che tale tempo libero sia essenzialmente riservato all'istruzione ed all'educazione religiose. Se quindi la fondazione ricorrente presenta un carattere misto, essa rimane soggetta alla vigilanza degli enti pubblici giusta l' art. 84 CC (RIEMER, Die Stiftungen, in Berner Kommentar zum Personenrecht, parte sistem. n. 204 e 365; EGGER, n. 2 all' art. 87 CC ).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